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4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1842"/>
        <w:gridCol w:w="709"/>
        <w:gridCol w:w="111"/>
        <w:gridCol w:w="1307"/>
        <w:gridCol w:w="5497"/>
      </w:tblGrid>
      <w:tr w:rsidR="002B063B" w:rsidRPr="002B063B" w:rsidTr="00CA422D">
        <w:tc>
          <w:tcPr>
            <w:tcW w:w="1276" w:type="dxa"/>
          </w:tcPr>
          <w:p w:rsidR="00ED3FDE" w:rsidRPr="002B063B" w:rsidRDefault="00ED3FDE" w:rsidP="00967A95">
            <w:pPr>
              <w:jc w:val="both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6490" w:type="dxa"/>
            <w:gridSpan w:val="4"/>
          </w:tcPr>
          <w:p w:rsidR="00ED3FDE" w:rsidRPr="002B063B" w:rsidRDefault="00ED3FDE" w:rsidP="009B422F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Present</w:t>
            </w:r>
          </w:p>
        </w:tc>
        <w:tc>
          <w:tcPr>
            <w:tcW w:w="6804" w:type="dxa"/>
            <w:gridSpan w:val="2"/>
          </w:tcPr>
          <w:p w:rsidR="00ED3FDE" w:rsidRPr="002B063B" w:rsidRDefault="00ED3FDE" w:rsidP="002E2838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Absent  </w:t>
            </w:r>
          </w:p>
        </w:tc>
      </w:tr>
      <w:tr w:rsidR="002B063B" w:rsidRPr="002B063B" w:rsidTr="00CA422D">
        <w:tc>
          <w:tcPr>
            <w:tcW w:w="1276" w:type="dxa"/>
          </w:tcPr>
          <w:p w:rsidR="00ED3FDE" w:rsidRPr="002B063B" w:rsidRDefault="00ED3FDE" w:rsidP="00A55364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Members:</w:t>
            </w:r>
          </w:p>
        </w:tc>
        <w:tc>
          <w:tcPr>
            <w:tcW w:w="6490" w:type="dxa"/>
            <w:gridSpan w:val="4"/>
          </w:tcPr>
          <w:p w:rsidR="00ED3FDE" w:rsidRPr="002B063B" w:rsidRDefault="00ED3FDE" w:rsidP="00DC19E1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>Minute</w:t>
            </w:r>
            <w:r w:rsidR="00D54357" w:rsidRPr="002B063B">
              <w:rPr>
                <w:rFonts w:cs="Arial"/>
                <w:sz w:val="18"/>
                <w:szCs w:val="18"/>
                <w:lang w:val="en-US"/>
              </w:rPr>
              <w:t>s</w:t>
            </w: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 taker: Heidi Juul Sørensen </w:t>
            </w:r>
          </w:p>
          <w:p w:rsidR="004726CA" w:rsidRPr="002B063B" w:rsidRDefault="004726CA" w:rsidP="00DC19E1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ED3FDE" w:rsidRPr="002B063B" w:rsidRDefault="00F73E94" w:rsidP="00DC19E1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Chairman: </w:t>
            </w:r>
            <w:r w:rsidR="00ED3FDE" w:rsidRPr="002B063B">
              <w:rPr>
                <w:rFonts w:cs="Arial"/>
                <w:sz w:val="18"/>
                <w:szCs w:val="18"/>
                <w:lang w:val="en-US"/>
              </w:rPr>
              <w:t>Kjeld Pedersen</w:t>
            </w:r>
            <w:r w:rsidR="00387646" w:rsidRPr="002B063B">
              <w:rPr>
                <w:rFonts w:cs="Arial"/>
                <w:sz w:val="18"/>
                <w:szCs w:val="18"/>
                <w:lang w:val="en-US"/>
              </w:rPr>
              <w:t xml:space="preserve"> (KP)</w:t>
            </w: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F73E94" w:rsidRPr="002B063B" w:rsidRDefault="00F73E94" w:rsidP="00F73E9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Deputy Chairman: Lars Rosgaard Jensen (LRJ) </w:t>
            </w:r>
          </w:p>
          <w:p w:rsidR="00E70F79" w:rsidRPr="002B063B" w:rsidRDefault="00E70F79" w:rsidP="00E70F79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2B063B">
              <w:rPr>
                <w:rFonts w:cs="Arial"/>
                <w:iCs/>
                <w:sz w:val="18"/>
                <w:szCs w:val="18"/>
              </w:rPr>
              <w:t>Jette Marie Christensen (JMC)</w:t>
            </w:r>
          </w:p>
          <w:p w:rsidR="00F73E94" w:rsidRPr="002B063B" w:rsidRDefault="00F73E94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B063B">
              <w:rPr>
                <w:rFonts w:ascii="Arial" w:hAnsi="Arial" w:cs="Arial"/>
                <w:sz w:val="18"/>
                <w:szCs w:val="18"/>
              </w:rPr>
              <w:t xml:space="preserve">Mette Herold-Jensen </w:t>
            </w:r>
          </w:p>
          <w:p w:rsidR="00EF0136" w:rsidRPr="002B063B" w:rsidRDefault="00EF0136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B063B">
              <w:rPr>
                <w:rFonts w:ascii="Arial" w:hAnsi="Arial" w:cs="Arial"/>
                <w:sz w:val="18"/>
                <w:szCs w:val="18"/>
              </w:rPr>
              <w:t>Klaus Kjær</w:t>
            </w:r>
            <w:r w:rsidR="004726CA" w:rsidRPr="002B063B">
              <w:rPr>
                <w:rFonts w:ascii="Arial" w:hAnsi="Arial" w:cs="Arial"/>
                <w:sz w:val="18"/>
                <w:szCs w:val="18"/>
              </w:rPr>
              <w:t xml:space="preserve"> (KK)</w:t>
            </w:r>
          </w:p>
          <w:p w:rsidR="00EF0136" w:rsidRPr="002B063B" w:rsidRDefault="00EF0136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B063B">
              <w:rPr>
                <w:rFonts w:ascii="Arial" w:hAnsi="Arial" w:cs="Arial"/>
                <w:sz w:val="18"/>
                <w:szCs w:val="18"/>
              </w:rPr>
              <w:t>Lea Thiesen</w:t>
            </w:r>
            <w:r w:rsidR="004726CA" w:rsidRPr="002B063B">
              <w:rPr>
                <w:rFonts w:ascii="Arial" w:hAnsi="Arial" w:cs="Arial"/>
                <w:sz w:val="18"/>
                <w:szCs w:val="18"/>
              </w:rPr>
              <w:t xml:space="preserve"> (LT)</w:t>
            </w:r>
          </w:p>
          <w:p w:rsidR="00EF0136" w:rsidRPr="002B063B" w:rsidRDefault="00EF0136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B063B">
              <w:rPr>
                <w:rFonts w:ascii="Arial" w:hAnsi="Arial" w:cs="Arial"/>
                <w:sz w:val="18"/>
                <w:szCs w:val="18"/>
              </w:rPr>
              <w:t>Kjeld Nielsen</w:t>
            </w:r>
            <w:r w:rsidR="004726CA" w:rsidRPr="002B063B">
              <w:rPr>
                <w:rFonts w:ascii="Arial" w:hAnsi="Arial" w:cs="Arial"/>
                <w:sz w:val="18"/>
                <w:szCs w:val="18"/>
              </w:rPr>
              <w:t xml:space="preserve"> (KN)</w:t>
            </w:r>
          </w:p>
          <w:p w:rsidR="00EF0136" w:rsidRPr="002B063B" w:rsidRDefault="00EF0136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Lazaros Nalpantidis </w:t>
            </w:r>
            <w:r w:rsidR="004726CA" w:rsidRPr="002B063B">
              <w:rPr>
                <w:rFonts w:ascii="Arial" w:hAnsi="Arial" w:cs="Arial"/>
                <w:sz w:val="18"/>
                <w:szCs w:val="18"/>
                <w:lang w:val="en-US"/>
              </w:rPr>
              <w:t>(LN)</w:t>
            </w:r>
          </w:p>
          <w:p w:rsidR="0070768A" w:rsidRPr="002B063B" w:rsidRDefault="0070768A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Lars Diekh</w:t>
            </w:r>
            <w:r w:rsidR="004D163A" w:rsidRPr="002B063B">
              <w:rPr>
                <w:rFonts w:ascii="Arial" w:hAnsi="Arial" w:cs="Arial"/>
                <w:sz w:val="18"/>
                <w:szCs w:val="18"/>
                <w:lang w:val="en-US"/>
              </w:rPr>
              <w:t>ö</w:t>
            </w: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ner (LD)</w:t>
            </w:r>
          </w:p>
          <w:p w:rsidR="00EF0136" w:rsidRPr="002B063B" w:rsidRDefault="00EF0136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C70F4" w:rsidRPr="002B063B" w:rsidRDefault="002C70F4" w:rsidP="002C70F4">
            <w:pPr>
              <w:rPr>
                <w:rFonts w:cs="Arial"/>
                <w:b/>
                <w:szCs w:val="20"/>
                <w:lang w:val="en-US"/>
              </w:rPr>
            </w:pPr>
            <w:r w:rsidRPr="002B063B">
              <w:rPr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1F214A" w:rsidRPr="002B063B" w:rsidRDefault="001F214A" w:rsidP="001F214A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B063B">
              <w:rPr>
                <w:rFonts w:ascii="Arial" w:hAnsi="Arial" w:cs="Arial"/>
                <w:b/>
                <w:sz w:val="18"/>
                <w:szCs w:val="18"/>
              </w:rPr>
              <w:t>Substitute</w:t>
            </w:r>
            <w:proofErr w:type="spellEnd"/>
            <w:r w:rsidRPr="002B06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063B">
              <w:rPr>
                <w:rFonts w:ascii="Arial" w:hAnsi="Arial" w:cs="Arial"/>
                <w:b/>
                <w:sz w:val="18"/>
                <w:szCs w:val="18"/>
              </w:rPr>
              <w:t>members</w:t>
            </w:r>
            <w:proofErr w:type="spellEnd"/>
            <w:r w:rsidRPr="002B063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1F214A" w:rsidRPr="002B063B" w:rsidRDefault="001F214A" w:rsidP="001F21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B063B">
              <w:rPr>
                <w:rFonts w:ascii="Arial" w:hAnsi="Arial" w:cs="Arial"/>
                <w:sz w:val="18"/>
                <w:szCs w:val="18"/>
              </w:rPr>
              <w:t>Karina Boller Jensen (KBJ)</w:t>
            </w:r>
          </w:p>
          <w:p w:rsidR="001F214A" w:rsidRPr="002B063B" w:rsidRDefault="001F214A" w:rsidP="001F21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Charlotte Zoey Søndergaard (CZS)</w:t>
            </w:r>
          </w:p>
          <w:p w:rsidR="001F214A" w:rsidRPr="002B063B" w:rsidRDefault="001F214A" w:rsidP="001F214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Vladimir Popok (VP)</w:t>
            </w:r>
          </w:p>
          <w:p w:rsidR="001F214A" w:rsidRPr="002B063B" w:rsidRDefault="001F214A" w:rsidP="001F214A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Jan Schjødt-Thomsen </w:t>
            </w:r>
          </w:p>
          <w:p w:rsidR="0070768A" w:rsidRDefault="001F214A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Thomas Ditlev Brunø</w:t>
            </w:r>
            <w:r w:rsidR="0070768A"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3C72AD" w:rsidRPr="002B063B" w:rsidRDefault="00F26861" w:rsidP="00F26861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B5C8F">
              <w:rPr>
                <w:rFonts w:ascii="Arial" w:hAnsi="Arial" w:cs="Arial"/>
                <w:sz w:val="18"/>
                <w:szCs w:val="18"/>
              </w:rPr>
              <w:t>Peder Veng Søberg.</w:t>
            </w:r>
          </w:p>
          <w:p w:rsidR="003C72AD" w:rsidRPr="002B063B" w:rsidRDefault="003C72A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0768A" w:rsidRPr="002B063B" w:rsidRDefault="0070768A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0768A" w:rsidRPr="002B063B" w:rsidRDefault="0070768A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B063B">
              <w:rPr>
                <w:rFonts w:ascii="Arial" w:hAnsi="Arial" w:cs="Arial"/>
                <w:sz w:val="18"/>
                <w:szCs w:val="18"/>
              </w:rPr>
              <w:t>Brian Vejrum (BV)</w:t>
            </w:r>
          </w:p>
          <w:p w:rsidR="0070768A" w:rsidRPr="002B063B" w:rsidRDefault="0070768A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Astrid Heidemann Lassen</w:t>
            </w:r>
          </w:p>
          <w:p w:rsidR="00ED3FDE" w:rsidRPr="002B063B" w:rsidRDefault="00ED3FDE" w:rsidP="0070768A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B063B" w:rsidRPr="002B063B" w:rsidTr="00E15788">
        <w:tc>
          <w:tcPr>
            <w:tcW w:w="9073" w:type="dxa"/>
            <w:gridSpan w:val="6"/>
          </w:tcPr>
          <w:p w:rsidR="00ED3FDE" w:rsidRPr="002B063B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Agenda</w:t>
            </w:r>
          </w:p>
        </w:tc>
        <w:tc>
          <w:tcPr>
            <w:tcW w:w="5497" w:type="dxa"/>
            <w:vMerge w:val="restart"/>
          </w:tcPr>
          <w:p w:rsidR="00ED3FDE" w:rsidRPr="002B063B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ED3FDE" w:rsidRPr="002B063B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Minutes</w:t>
            </w:r>
          </w:p>
        </w:tc>
      </w:tr>
      <w:tr w:rsidR="002B063B" w:rsidRPr="002B063B" w:rsidTr="00E15788">
        <w:tc>
          <w:tcPr>
            <w:tcW w:w="5104" w:type="dxa"/>
            <w:gridSpan w:val="2"/>
          </w:tcPr>
          <w:p w:rsidR="007C0F15" w:rsidRPr="002B063B" w:rsidRDefault="007C0F15" w:rsidP="00967A95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2B063B">
              <w:rPr>
                <w:rFonts w:cs="Arial"/>
                <w:b/>
                <w:szCs w:val="20"/>
                <w:lang w:val="en-GB"/>
              </w:rPr>
              <w:t>Items</w:t>
            </w:r>
          </w:p>
        </w:tc>
        <w:tc>
          <w:tcPr>
            <w:tcW w:w="1842" w:type="dxa"/>
          </w:tcPr>
          <w:p w:rsidR="007C0F15" w:rsidRPr="002B063B" w:rsidRDefault="007C0F15" w:rsidP="00955393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Enclosures/</w:t>
            </w:r>
            <w:r w:rsidR="00E15788"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suggestions</w:t>
            </w:r>
          </w:p>
        </w:tc>
        <w:tc>
          <w:tcPr>
            <w:tcW w:w="709" w:type="dxa"/>
          </w:tcPr>
          <w:p w:rsidR="007C0F15" w:rsidRPr="002B063B" w:rsidRDefault="007C0F15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I/D/DM</w:t>
            </w:r>
          </w:p>
        </w:tc>
        <w:tc>
          <w:tcPr>
            <w:tcW w:w="1418" w:type="dxa"/>
            <w:gridSpan w:val="2"/>
          </w:tcPr>
          <w:p w:rsidR="007C0F15" w:rsidRPr="002B063B" w:rsidRDefault="007C0F15" w:rsidP="0034016A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63B">
              <w:rPr>
                <w:rFonts w:ascii="Arial" w:hAnsi="Arial" w:cs="Arial"/>
                <w:b/>
                <w:sz w:val="20"/>
                <w:szCs w:val="20"/>
                <w:lang w:val="en-GB"/>
              </w:rPr>
              <w:t>Comments/ responsible:</w:t>
            </w:r>
          </w:p>
        </w:tc>
        <w:tc>
          <w:tcPr>
            <w:tcW w:w="5497" w:type="dxa"/>
            <w:vMerge/>
          </w:tcPr>
          <w:p w:rsidR="007C0F15" w:rsidRPr="002B063B" w:rsidRDefault="007C0F15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B063B" w:rsidRPr="00EB5C8F" w:rsidTr="00E15788">
        <w:tc>
          <w:tcPr>
            <w:tcW w:w="1276" w:type="dxa"/>
          </w:tcPr>
          <w:p w:rsidR="007C0F15" w:rsidRPr="002B063B" w:rsidRDefault="007C0F15" w:rsidP="00A55364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:rsidR="007C0F15" w:rsidRPr="002B063B" w:rsidRDefault="007C0F15" w:rsidP="00F31AA4">
            <w:pPr>
              <w:spacing w:after="200" w:line="276" w:lineRule="auto"/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b/>
                <w:sz w:val="18"/>
                <w:szCs w:val="18"/>
                <w:lang w:val="en-US"/>
              </w:rPr>
              <w:t xml:space="preserve">Approval of previous minutes/agenda + Messages from Head of Department </w:t>
            </w:r>
          </w:p>
          <w:p w:rsidR="007C0F15" w:rsidRPr="002B063B" w:rsidRDefault="007C0F15" w:rsidP="00F31AA4">
            <w:pPr>
              <w:spacing w:after="200" w:line="276" w:lineRule="auto"/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MP Status (Head of groups) </w:t>
            </w:r>
          </w:p>
          <w:p w:rsidR="007C0F15" w:rsidRPr="002B063B" w:rsidRDefault="007C0F15" w:rsidP="00B11AF8">
            <w:pPr>
              <w:spacing w:after="200" w:line="276" w:lineRule="auto"/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>Period follow-up</w:t>
            </w:r>
          </w:p>
          <w:p w:rsidR="007C0F15" w:rsidRPr="002B063B" w:rsidRDefault="007C0F15" w:rsidP="00766D55">
            <w:pPr>
              <w:contextualSpacing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</w:tcPr>
          <w:p w:rsidR="007C0F15" w:rsidRPr="002B063B" w:rsidRDefault="007C0F15" w:rsidP="00CF066F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object w:dxaOrig="1513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8pt" o:ole="">
                  <v:imagedata r:id="rId10" o:title=""/>
                </v:shape>
                <o:OLEObject Type="Embed" ProgID="PowerPoint.Show.12" ShapeID="_x0000_i1025" DrawAspect="Icon" ObjectID="_1563593502" r:id="rId11"/>
              </w:object>
            </w:r>
          </w:p>
        </w:tc>
        <w:tc>
          <w:tcPr>
            <w:tcW w:w="709" w:type="dxa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1418" w:type="dxa"/>
            <w:gridSpan w:val="2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KP</w:t>
            </w:r>
          </w:p>
        </w:tc>
        <w:tc>
          <w:tcPr>
            <w:tcW w:w="5497" w:type="dxa"/>
          </w:tcPr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In the future, ec</w:t>
            </w:r>
            <w:r w:rsidR="00F44930">
              <w:rPr>
                <w:rFonts w:ascii="Arial" w:hAnsi="Arial" w:cs="Arial"/>
                <w:sz w:val="18"/>
                <w:szCs w:val="18"/>
                <w:lang w:val="en-GB"/>
              </w:rPr>
              <w:t>onomy will be a fixed part of “M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essages from Head of Department”.  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Current status: Budget is being followed and it looks good.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Groups are challenged by schedule planning for the autumn due to internal resources. </w:t>
            </w:r>
          </w:p>
          <w:p w:rsid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Group leaders/Research Group Coordinators are not yet settled for CIP, Materials or Physic, but it is at focus. </w:t>
            </w:r>
          </w:p>
          <w:p w:rsidR="0017740B" w:rsidRPr="002B063B" w:rsidRDefault="0017740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Organization diagram will be distributed with the name of group leaders as soon as it is settled. </w:t>
            </w:r>
          </w:p>
          <w:p w:rsidR="0017740B" w:rsidRPr="002B063B" w:rsidRDefault="0017740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41E24" w:rsidRPr="002B063B" w:rsidRDefault="00741E24" w:rsidP="00741E2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B063B" w:rsidRPr="00EB5C8F" w:rsidTr="00E15788">
        <w:tc>
          <w:tcPr>
            <w:tcW w:w="1276" w:type="dxa"/>
          </w:tcPr>
          <w:p w:rsidR="007C0F15" w:rsidRPr="002B063B" w:rsidRDefault="007C0F15" w:rsidP="00A55364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:rsidR="007C0F15" w:rsidRPr="002B063B" w:rsidRDefault="007C0F15" w:rsidP="00F31AA4">
            <w:pPr>
              <w:spacing w:after="200" w:line="276" w:lineRule="auto"/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b/>
                <w:sz w:val="18"/>
                <w:szCs w:val="18"/>
                <w:lang w:val="en-US"/>
              </w:rPr>
              <w:t>Follow-up on previous items</w:t>
            </w:r>
          </w:p>
          <w:p w:rsidR="007C0F15" w:rsidRPr="002B063B" w:rsidRDefault="002146B4" w:rsidP="00672649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Vice H</w:t>
            </w:r>
            <w:r w:rsidR="007C0F15" w:rsidRPr="002B063B">
              <w:rPr>
                <w:rFonts w:ascii="Arial" w:hAnsi="Arial" w:cs="Arial"/>
                <w:sz w:val="18"/>
                <w:szCs w:val="18"/>
                <w:lang w:val="en-GB"/>
              </w:rPr>
              <w:t>ead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s of Department</w:t>
            </w:r>
            <w:r w:rsidR="007C0F15"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7C0F15" w:rsidRPr="002B063B" w:rsidRDefault="007C0F15" w:rsidP="00672649">
            <w:pPr>
              <w:pStyle w:val="Listeafsnit"/>
              <w:numPr>
                <w:ilvl w:val="0"/>
                <w:numId w:val="8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Platform  </w:t>
            </w:r>
          </w:p>
          <w:p w:rsidR="007C0F15" w:rsidRPr="002B063B" w:rsidRDefault="007C0F15" w:rsidP="00A55364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</w:tcPr>
          <w:p w:rsidR="007C0F15" w:rsidRPr="002B063B" w:rsidRDefault="007C0F15" w:rsidP="00CF066F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9" w:type="dxa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1418" w:type="dxa"/>
            <w:gridSpan w:val="2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KP</w:t>
            </w:r>
          </w:p>
        </w:tc>
        <w:tc>
          <w:tcPr>
            <w:tcW w:w="5497" w:type="dxa"/>
          </w:tcPr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The road of opening the Vice heads positions has been challenging.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But it is settled n</w:t>
            </w:r>
            <w:r w:rsidR="0017740B">
              <w:rPr>
                <w:rFonts w:ascii="Arial" w:hAnsi="Arial" w:cs="Arial"/>
                <w:sz w:val="18"/>
                <w:szCs w:val="18"/>
                <w:lang w:val="en-GB"/>
              </w:rPr>
              <w:t>ow. It will be an internal call w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ith 14 days of call.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They will be academic – with task on teaching.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17740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Future a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GB"/>
              </w:rPr>
              <w:t>genda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and minutes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are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asked to be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both in Danish and English.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Default="0017740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They will be available in the SharePoint: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EB5C8F" w:rsidRPr="002B063B" w:rsidRDefault="00EB5C8F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B5C8F">
              <w:rPr>
                <w:rFonts w:ascii="Arial" w:hAnsi="Arial" w:cs="Arial"/>
                <w:sz w:val="18"/>
                <w:szCs w:val="18"/>
                <w:lang w:val="en-GB"/>
              </w:rPr>
              <w:t>https://aaudk.sharepoint.com/sites/MP/_layouts/15/guestaccess.a</w:t>
            </w:r>
            <w:r w:rsidRPr="00EB5C8F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spx?guestaccesstoken=nC6yok59zDHlmKF5LCI1n4lXuxyrRAks9sV6pPMb%2bFg%3d&amp;folderid=2_1df16f60845ba49e9bf52d1ac1e0ac9c0&amp;rev=1</w:t>
            </w:r>
            <w:bookmarkStart w:id="0" w:name="_GoBack"/>
            <w:bookmarkEnd w:id="0"/>
          </w:p>
          <w:p w:rsidR="006C368A" w:rsidRPr="002B063B" w:rsidRDefault="006C368A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B063B" w:rsidRPr="00EB5C8F" w:rsidTr="00E15788">
        <w:tc>
          <w:tcPr>
            <w:tcW w:w="1276" w:type="dxa"/>
          </w:tcPr>
          <w:p w:rsidR="007C0F15" w:rsidRPr="002B063B" w:rsidRDefault="007C0F15" w:rsidP="00A55364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:rsidR="007C0F15" w:rsidRPr="002B063B" w:rsidRDefault="007C0F15" w:rsidP="00582D2F">
            <w:pPr>
              <w:tabs>
                <w:tab w:val="center" w:pos="1806"/>
              </w:tabs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b/>
                <w:sz w:val="18"/>
                <w:szCs w:val="18"/>
                <w:lang w:val="en-US"/>
              </w:rPr>
              <w:t xml:space="preserve">Skuffekonti – </w:t>
            </w:r>
            <w:r w:rsidR="003D3067" w:rsidRPr="002B063B">
              <w:rPr>
                <w:rFonts w:cs="Arial"/>
                <w:b/>
                <w:sz w:val="18"/>
                <w:szCs w:val="18"/>
                <w:lang w:val="en-US"/>
              </w:rPr>
              <w:t>Personal and group</w:t>
            </w:r>
            <w:r w:rsidRPr="002B063B">
              <w:rPr>
                <w:rFonts w:cs="Arial"/>
                <w:b/>
                <w:sz w:val="18"/>
                <w:szCs w:val="18"/>
                <w:lang w:val="en-US"/>
              </w:rPr>
              <w:t xml:space="preserve"> accounts</w:t>
            </w:r>
          </w:p>
          <w:p w:rsidR="007C0F15" w:rsidRPr="002B063B" w:rsidRDefault="007C0F15" w:rsidP="00582D2F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</w:p>
          <w:p w:rsidR="007C0F15" w:rsidRPr="002B063B" w:rsidRDefault="007C0F15" w:rsidP="00582D2F">
            <w:pPr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7C0F15" w:rsidRPr="002B063B" w:rsidRDefault="007C0F15" w:rsidP="00B11AF8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1418" w:type="dxa"/>
            <w:gridSpan w:val="2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KP</w:t>
            </w:r>
          </w:p>
        </w:tc>
        <w:tc>
          <w:tcPr>
            <w:tcW w:w="5497" w:type="dxa"/>
          </w:tcPr>
          <w:p w:rsidR="002B063B" w:rsidRPr="0017740B" w:rsidRDefault="002B063B" w:rsidP="002B063B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774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Personal and group accounts at M-tech.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They are still frozen/closed.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The final decision is that they are permanently closed. </w:t>
            </w:r>
          </w:p>
          <w:p w:rsidR="002B063B" w:rsidRPr="002B063B" w:rsidRDefault="0017740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Different traditions 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in the three former departments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would </w:t>
            </w:r>
            <w:r w:rsidR="00FD1A8E">
              <w:rPr>
                <w:rFonts w:ascii="Arial" w:hAnsi="Arial" w:cs="Arial"/>
                <w:sz w:val="18"/>
                <w:szCs w:val="18"/>
                <w:lang w:val="en-GB"/>
              </w:rPr>
              <w:t>cause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an inequality, if continuing with the accounts.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In these account was included the prizes as professors of the year. These should be available to the individual. But it is a small amount.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623675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All the 2 % are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gone.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Instead it is possible to apply for extra funds to the section head. This will be announced in the newsletter.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The accounts have earlier included teaching/consulting money and it is not yet settled what happen with that.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Funds saved from Ph.d. courses are gone. </w:t>
            </w:r>
            <w:r w:rsidR="00FD1A8E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="00623675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the future Ph.d. courses will be paid as teaching.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Though, we need to change the way we think about tasks a</w:t>
            </w:r>
            <w:r w:rsidR="0062367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 Ph.D. courses. We need to have more dialogue with and within the groups.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It is emphasised that teaching Ph.D. courses is not a key factor, and therefore the union representatives will not be able to urge conduct</w:t>
            </w:r>
            <w:r w:rsidR="00623675">
              <w:rPr>
                <w:rFonts w:ascii="Arial" w:hAnsi="Arial" w:cs="Arial"/>
                <w:sz w:val="18"/>
                <w:szCs w:val="18"/>
                <w:lang w:val="en-GB"/>
              </w:rPr>
              <w:t>ion of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this task additionally. </w:t>
            </w:r>
          </w:p>
          <w:p w:rsidR="00623675" w:rsidRPr="00623675" w:rsidRDefault="00623675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623675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3675">
              <w:rPr>
                <w:rFonts w:ascii="Arial" w:hAnsi="Arial" w:cs="Arial"/>
                <w:sz w:val="18"/>
                <w:szCs w:val="18"/>
                <w:lang w:val="en-GB"/>
              </w:rPr>
              <w:t>KP: I would like it to be within the all</w:t>
            </w:r>
            <w:r w:rsidR="00623675" w:rsidRPr="00623675">
              <w:rPr>
                <w:rFonts w:ascii="Arial" w:hAnsi="Arial" w:cs="Arial"/>
                <w:sz w:val="18"/>
                <w:szCs w:val="18"/>
                <w:lang w:val="en-GB"/>
              </w:rPr>
              <w:t>ocated resources (tidsskemaet).</w:t>
            </w:r>
            <w:r w:rsidRPr="0062367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It is emphasized by employee (KN) and KP that this is a new possibility and a fresh start.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And of course the department must look into it, but the motivation part should follow</w:t>
            </w:r>
            <w:r w:rsidR="00623675">
              <w:rPr>
                <w:rFonts w:ascii="Arial" w:hAnsi="Arial" w:cs="Arial"/>
                <w:sz w:val="18"/>
                <w:szCs w:val="18"/>
                <w:lang w:val="en-US"/>
              </w:rPr>
              <w:t xml:space="preserve"> later</w:t>
            </w: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623675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he daily working environment </w:t>
            </w:r>
            <w:r w:rsidR="00623675">
              <w:rPr>
                <w:rFonts w:ascii="Arial" w:hAnsi="Arial" w:cs="Arial"/>
                <w:sz w:val="18"/>
                <w:szCs w:val="18"/>
                <w:lang w:val="en-US"/>
              </w:rPr>
              <w:t xml:space="preserve">needs to be settled first. </w:t>
            </w: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Of course the </w:t>
            </w:r>
            <w:r w:rsidR="00623675">
              <w:rPr>
                <w:rFonts w:ascii="Arial" w:hAnsi="Arial" w:cs="Arial"/>
                <w:sz w:val="18"/>
                <w:szCs w:val="18"/>
                <w:lang w:val="en-US"/>
              </w:rPr>
              <w:t xml:space="preserve">Union Representatives should bear this in mind </w:t>
            </w:r>
            <w:r w:rsidR="00FD1A8E">
              <w:rPr>
                <w:rFonts w:ascii="Arial" w:hAnsi="Arial" w:cs="Arial"/>
                <w:sz w:val="18"/>
                <w:szCs w:val="18"/>
                <w:lang w:val="en-US"/>
              </w:rPr>
              <w:t>for its members, b</w:t>
            </w: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ut it is </w:t>
            </w:r>
            <w:r w:rsidR="00623675">
              <w:rPr>
                <w:rFonts w:ascii="Arial" w:hAnsi="Arial" w:cs="Arial"/>
                <w:sz w:val="18"/>
                <w:szCs w:val="18"/>
                <w:lang w:val="en-US"/>
              </w:rPr>
              <w:t xml:space="preserve">a process, which should involve both </w:t>
            </w: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section heads </w:t>
            </w:r>
            <w:r w:rsidR="00623675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group leaders</w:t>
            </w:r>
            <w:r w:rsidR="00623675">
              <w:rPr>
                <w:rFonts w:ascii="Arial" w:hAnsi="Arial" w:cs="Arial"/>
                <w:sz w:val="18"/>
                <w:szCs w:val="18"/>
                <w:lang w:val="en-US"/>
              </w:rPr>
              <w:t>/coordinators</w:t>
            </w: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B063B" w:rsidRPr="002B063B" w:rsidRDefault="00623675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It is requested to look into the possibility of a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 transparent system which clearly shows how the individual is contributing or should contrib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ute to the different approaches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KP emphasis that the mentioned tasks should be part of the daily allocated resources. But this is a fresh start</w:t>
            </w:r>
            <w:r w:rsidR="00012D7C">
              <w:rPr>
                <w:rFonts w:ascii="Arial" w:hAnsi="Arial" w:cs="Arial"/>
                <w:sz w:val="18"/>
                <w:szCs w:val="18"/>
                <w:lang w:val="en-US"/>
              </w:rPr>
              <w:t xml:space="preserve"> and management incl. group coordinators should look into it</w:t>
            </w: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 xml:space="preserve">It is asked to emphasis in the newsletter – what is gone, and what is not yet settled. </w:t>
            </w:r>
          </w:p>
          <w:p w:rsidR="00734CDF" w:rsidRPr="002B063B" w:rsidRDefault="00734CDF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B063B" w:rsidRPr="00EB5C8F" w:rsidTr="00E15788">
        <w:trPr>
          <w:trHeight w:val="706"/>
        </w:trPr>
        <w:tc>
          <w:tcPr>
            <w:tcW w:w="1276" w:type="dxa"/>
          </w:tcPr>
          <w:p w:rsidR="007C0F15" w:rsidRPr="002B063B" w:rsidRDefault="007C0F15" w:rsidP="00A55364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7C0F15" w:rsidRPr="002B063B" w:rsidRDefault="007C0F15" w:rsidP="00582D2F">
            <w:pPr>
              <w:spacing w:after="200" w:line="276" w:lineRule="auto"/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b/>
                <w:sz w:val="18"/>
                <w:szCs w:val="18"/>
                <w:lang w:val="en-US"/>
              </w:rPr>
              <w:t xml:space="preserve">Follow up on working environment in CPH (Crecea report) </w:t>
            </w:r>
          </w:p>
          <w:p w:rsidR="007C0F15" w:rsidRPr="002B063B" w:rsidRDefault="007C0F15" w:rsidP="00582D2F">
            <w:pPr>
              <w:spacing w:after="200" w:line="276" w:lineRule="auto"/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Status CPH and impact on Aalborg. </w:t>
            </w:r>
          </w:p>
          <w:p w:rsidR="007C0F15" w:rsidRPr="002B063B" w:rsidRDefault="007C0F15" w:rsidP="00582D2F">
            <w:pPr>
              <w:tabs>
                <w:tab w:val="center" w:pos="1806"/>
              </w:tabs>
              <w:contextualSpacing/>
              <w:rPr>
                <w:rFonts w:cs="Arial"/>
                <w:b/>
                <w:sz w:val="18"/>
                <w:szCs w:val="18"/>
                <w:highlight w:val="yellow"/>
                <w:lang w:val="en-US"/>
              </w:rPr>
            </w:pPr>
          </w:p>
        </w:tc>
        <w:bookmarkStart w:id="1" w:name="_MON_1557138667"/>
        <w:bookmarkEnd w:id="1"/>
        <w:tc>
          <w:tcPr>
            <w:tcW w:w="1842" w:type="dxa"/>
          </w:tcPr>
          <w:p w:rsidR="007C0F15" w:rsidRPr="002B063B" w:rsidRDefault="007C0F15" w:rsidP="000C1D68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object w:dxaOrig="1513" w:dyaOrig="960">
                <v:shape id="_x0000_i1026" type="#_x0000_t75" style="width:75.6pt;height:48pt" o:ole="">
                  <v:imagedata r:id="rId12" o:title=""/>
                </v:shape>
                <o:OLEObject Type="Embed" ProgID="Word.Document.12" ShapeID="_x0000_i1026" DrawAspect="Icon" ObjectID="_1563593503" r:id="rId13">
                  <o:FieldCodes>\s</o:FieldCodes>
                </o:OLEObject>
              </w:object>
            </w:r>
          </w:p>
        </w:tc>
        <w:tc>
          <w:tcPr>
            <w:tcW w:w="709" w:type="dxa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1418" w:type="dxa"/>
            <w:gridSpan w:val="2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KP</w:t>
            </w:r>
          </w:p>
        </w:tc>
        <w:tc>
          <w:tcPr>
            <w:tcW w:w="5497" w:type="dxa"/>
          </w:tcPr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CPH: action plan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Sub</w:t>
            </w:r>
            <w:r w:rsidR="00012D7C">
              <w:rPr>
                <w:rFonts w:ascii="Arial" w:hAnsi="Arial" w:cs="Arial"/>
                <w:sz w:val="18"/>
                <w:szCs w:val="18"/>
                <w:lang w:val="en-GB"/>
              </w:rPr>
              <w:t>stitute from CPH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: Peder Veng Søberg. </w:t>
            </w:r>
          </w:p>
          <w:p w:rsidR="00012D7C" w:rsidRDefault="00012D7C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012D7C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LN: 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The action plan is settled.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It is currently been circulated. The coordination group </w:t>
            </w:r>
            <w:r w:rsidR="00012D7C">
              <w:rPr>
                <w:rFonts w:ascii="Arial" w:hAnsi="Arial" w:cs="Arial"/>
                <w:sz w:val="18"/>
                <w:szCs w:val="18"/>
                <w:lang w:val="en-GB"/>
              </w:rPr>
              <w:t>can still comment and it may change slightly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Main issues:</w:t>
            </w:r>
          </w:p>
          <w:p w:rsidR="002B063B" w:rsidRPr="002B063B" w:rsidRDefault="002B063B" w:rsidP="002B063B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Planning (9 year cycle)</w:t>
            </w:r>
          </w:p>
          <w:p w:rsidR="002B063B" w:rsidRPr="002B063B" w:rsidRDefault="002B063B" w:rsidP="002B063B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Clear descriptions </w:t>
            </w:r>
          </w:p>
          <w:p w:rsidR="002B063B" w:rsidRPr="002B063B" w:rsidRDefault="002B063B" w:rsidP="002B063B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Identifying needs for hiring. </w:t>
            </w:r>
          </w:p>
          <w:p w:rsidR="002B063B" w:rsidRPr="002B063B" w:rsidRDefault="002B063B" w:rsidP="002B063B">
            <w:pPr>
              <w:rPr>
                <w:rFonts w:eastAsia="Calibri" w:cs="Arial"/>
                <w:sz w:val="18"/>
                <w:szCs w:val="18"/>
                <w:lang w:val="en-GB"/>
              </w:rPr>
            </w:pPr>
          </w:p>
          <w:p w:rsidR="002B063B" w:rsidRPr="002B063B" w:rsidRDefault="00012D7C" w:rsidP="002B063B">
            <w:pPr>
              <w:rPr>
                <w:rFonts w:eastAsia="Calibri" w:cs="Arial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sz w:val="18"/>
                <w:szCs w:val="18"/>
                <w:lang w:val="en-GB"/>
              </w:rPr>
              <w:t>Transparency has been a main</w:t>
            </w:r>
            <w:r w:rsidR="002B063B" w:rsidRPr="002B063B">
              <w:rPr>
                <w:rFonts w:eastAsia="Calibri" w:cs="Arial"/>
                <w:sz w:val="18"/>
                <w:szCs w:val="18"/>
                <w:lang w:val="en-GB"/>
              </w:rPr>
              <w:t xml:space="preserve"> focus. </w:t>
            </w:r>
          </w:p>
          <w:p w:rsidR="002B063B" w:rsidRPr="002B063B" w:rsidRDefault="002B063B" w:rsidP="002B063B">
            <w:pPr>
              <w:rPr>
                <w:rFonts w:eastAsia="Calibri" w:cs="Arial"/>
                <w:sz w:val="18"/>
                <w:szCs w:val="18"/>
                <w:lang w:val="en-GB"/>
              </w:rPr>
            </w:pPr>
            <w:r w:rsidRPr="002B063B">
              <w:rPr>
                <w:rFonts w:eastAsia="Calibri" w:cs="Arial"/>
                <w:sz w:val="18"/>
                <w:szCs w:val="18"/>
                <w:lang w:val="en-GB"/>
              </w:rPr>
              <w:t xml:space="preserve">Some of the questions are: </w:t>
            </w:r>
          </w:p>
          <w:p w:rsidR="002B063B" w:rsidRPr="002B063B" w:rsidRDefault="002B063B" w:rsidP="002B063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val="en-GB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What is the core task and what contributes to what? </w:t>
            </w:r>
          </w:p>
          <w:p w:rsidR="002B063B" w:rsidRPr="002B063B" w:rsidRDefault="002B063B" w:rsidP="002B063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val="en-GB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t>What is included and what is not?</w:t>
            </w:r>
          </w:p>
          <w:p w:rsidR="002B063B" w:rsidRPr="002B063B" w:rsidRDefault="002B063B" w:rsidP="002B063B">
            <w:pPr>
              <w:rPr>
                <w:rFonts w:eastAsia="Calibri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t>We need to cultivate the group culture</w:t>
            </w:r>
            <w:r w:rsidR="00012D7C">
              <w:rPr>
                <w:rFonts w:cs="Arial"/>
                <w:sz w:val="18"/>
                <w:szCs w:val="18"/>
                <w:lang w:val="en-GB"/>
              </w:rPr>
              <w:t xml:space="preserve"> and</w:t>
            </w: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 to focus on fewer activities.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The final plan will be distributed ASAP and will be presented </w:t>
            </w:r>
            <w:r w:rsidR="00012D7C">
              <w:rPr>
                <w:rFonts w:cs="Arial"/>
                <w:sz w:val="18"/>
                <w:szCs w:val="18"/>
                <w:lang w:val="en-GB"/>
              </w:rPr>
              <w:t xml:space="preserve">in CPH </w:t>
            </w: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on a personnel meeting next week.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t>One of the new initi</w:t>
            </w:r>
            <w:r w:rsidR="00012D7C">
              <w:rPr>
                <w:rFonts w:cs="Arial"/>
                <w:sz w:val="18"/>
                <w:szCs w:val="18"/>
                <w:lang w:val="en-GB"/>
              </w:rPr>
              <w:t>atives is that authority</w:t>
            </w: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 to make decisions for the daily operation</w:t>
            </w:r>
            <w:r w:rsidR="00012D7C">
              <w:rPr>
                <w:rFonts w:cs="Arial"/>
                <w:sz w:val="18"/>
                <w:szCs w:val="18"/>
                <w:lang w:val="en-GB"/>
              </w:rPr>
              <w:t xml:space="preserve"> is now located in CPH</w:t>
            </w: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.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t>It improves t</w:t>
            </w:r>
            <w:r w:rsidR="00971252">
              <w:rPr>
                <w:rFonts w:cs="Arial"/>
                <w:sz w:val="18"/>
                <w:szCs w:val="18"/>
                <w:lang w:val="en-GB"/>
              </w:rPr>
              <w:t>he flow</w:t>
            </w: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971252">
              <w:rPr>
                <w:rFonts w:cs="Arial"/>
                <w:sz w:val="18"/>
                <w:szCs w:val="18"/>
                <w:lang w:val="en-GB"/>
              </w:rPr>
              <w:t>and</w:t>
            </w: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 management in Aalborg is not the bottleneck. 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There should also be a general plan for the department which should be at draft on 9 June.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A working task group has been working on the plan. It will be presented to AMiU on 6 June.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Focus areas is outlined in the next newsletter.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  <w:r w:rsidRPr="002B063B">
              <w:rPr>
                <w:rFonts w:cs="Arial"/>
                <w:sz w:val="18"/>
                <w:szCs w:val="18"/>
                <w:lang w:val="en-GB"/>
              </w:rPr>
              <w:t xml:space="preserve">It will of course include both TAP/VIP.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GB"/>
              </w:rPr>
            </w:pPr>
          </w:p>
          <w:p w:rsidR="00BA7646" w:rsidRPr="002B063B" w:rsidRDefault="00BA7646" w:rsidP="000972E2">
            <w:pPr>
              <w:rPr>
                <w:rFonts w:cs="Arial"/>
                <w:sz w:val="18"/>
                <w:szCs w:val="18"/>
                <w:lang w:val="en-GB"/>
              </w:rPr>
            </w:pPr>
          </w:p>
          <w:p w:rsidR="00BA7646" w:rsidRPr="002B063B" w:rsidRDefault="00BA7646" w:rsidP="000972E2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2B063B" w:rsidRPr="00EB5C8F" w:rsidTr="00E15788">
        <w:trPr>
          <w:trHeight w:val="706"/>
        </w:trPr>
        <w:tc>
          <w:tcPr>
            <w:tcW w:w="1276" w:type="dxa"/>
          </w:tcPr>
          <w:p w:rsidR="007C0F15" w:rsidRPr="002B063B" w:rsidRDefault="007C0F15" w:rsidP="00A55364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7C0F15" w:rsidRPr="002B063B" w:rsidRDefault="007C0F15" w:rsidP="00F31AA4">
            <w:pPr>
              <w:spacing w:after="200" w:line="276" w:lineRule="auto"/>
              <w:contextualSpacing/>
              <w:rPr>
                <w:rFonts w:cs="Arial"/>
                <w:b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b/>
                <w:sz w:val="18"/>
                <w:szCs w:val="18"/>
                <w:lang w:val="en-US"/>
              </w:rPr>
              <w:t>Theme</w:t>
            </w:r>
          </w:p>
          <w:p w:rsidR="007C0F15" w:rsidRPr="002B063B" w:rsidRDefault="007C0F15" w:rsidP="00A65A7C">
            <w:pPr>
              <w:contextualSpacing/>
              <w:rPr>
                <w:rFonts w:cs="Arial"/>
                <w:sz w:val="18"/>
                <w:szCs w:val="18"/>
                <w:u w:val="single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u w:val="single"/>
                <w:lang w:val="en-US"/>
              </w:rPr>
              <w:t>Psychosocial Working environment</w:t>
            </w:r>
          </w:p>
          <w:p w:rsidR="007C0F15" w:rsidRPr="002B063B" w:rsidRDefault="007C0F15" w:rsidP="00A65A7C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>Status in Aalborg (APV)</w:t>
            </w:r>
          </w:p>
          <w:p w:rsidR="007C0F15" w:rsidRPr="002B063B" w:rsidRDefault="007C0F15" w:rsidP="00A65A7C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</w:p>
          <w:p w:rsidR="007C0F15" w:rsidRPr="002B063B" w:rsidRDefault="007C0F15" w:rsidP="00A65A7C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Many actions are currently being launched both CPH/AAL and the effect has not shown yet.  </w:t>
            </w:r>
          </w:p>
          <w:p w:rsidR="007C0F15" w:rsidRPr="002B063B" w:rsidRDefault="007C0F15" w:rsidP="00A65A7C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</w:p>
          <w:p w:rsidR="007C0F15" w:rsidRPr="002B063B" w:rsidRDefault="007C0F15" w:rsidP="00A65A7C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</w:p>
          <w:p w:rsidR="007C0F15" w:rsidRPr="002B063B" w:rsidRDefault="007C0F15" w:rsidP="00A65A7C">
            <w:pPr>
              <w:contextualSpacing/>
              <w:rPr>
                <w:rFonts w:cs="Arial"/>
                <w:sz w:val="18"/>
                <w:szCs w:val="18"/>
                <w:u w:val="single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u w:val="single"/>
                <w:lang w:val="en-US"/>
              </w:rPr>
              <w:t xml:space="preserve">Personnel Policies </w:t>
            </w:r>
          </w:p>
          <w:p w:rsidR="007C0F15" w:rsidRPr="002B063B" w:rsidRDefault="007C0F15" w:rsidP="00672649">
            <w:pPr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It is suggested to postpone item.  </w:t>
            </w:r>
          </w:p>
        </w:tc>
        <w:tc>
          <w:tcPr>
            <w:tcW w:w="1842" w:type="dxa"/>
          </w:tcPr>
          <w:p w:rsidR="007C0F15" w:rsidRPr="002B063B" w:rsidRDefault="007C0F15" w:rsidP="000C1D68">
            <w:pPr>
              <w:rPr>
                <w:rFonts w:cs="Arial"/>
                <w:sz w:val="18"/>
                <w:szCs w:val="18"/>
                <w:highlight w:val="yellow"/>
                <w:lang w:val="en-US"/>
              </w:rPr>
            </w:pPr>
          </w:p>
          <w:p w:rsidR="007C0F15" w:rsidRPr="002B063B" w:rsidRDefault="007C0F15" w:rsidP="000C1D68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7C0F15" w:rsidRPr="002B063B" w:rsidRDefault="007C0F15" w:rsidP="000C1D68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7C0F15" w:rsidRPr="002B063B" w:rsidRDefault="007C0F15" w:rsidP="000C1D68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7C0F15" w:rsidRPr="002B063B" w:rsidRDefault="007C0F15" w:rsidP="000C1D68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2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KP/LRJ</w:t>
            </w:r>
          </w:p>
        </w:tc>
        <w:tc>
          <w:tcPr>
            <w:tcW w:w="5497" w:type="dxa"/>
          </w:tcPr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AMiU Task Group has worked on the action Plan.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When the CPH action plan is official we will find a common basis.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It is expected that the findings regarding psychosocial working environment in CPH </w:t>
            </w:r>
            <w:r w:rsidR="00012D7C">
              <w:rPr>
                <w:rFonts w:ascii="Arial" w:hAnsi="Arial" w:cs="Arial"/>
                <w:sz w:val="18"/>
                <w:szCs w:val="18"/>
                <w:lang w:val="en-GB"/>
              </w:rPr>
              <w:t xml:space="preserve">also reflect the situation in 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AAL.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2D7C" w:rsidRDefault="00012D7C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LN: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Status in CPH: </w:t>
            </w: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Psychosocial environment is improving. It is not paradise – nor ideal, but it is on the right path.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We are looking for quick fixes and not long time results. 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Regarding the physical working environment in CPH: </w:t>
            </w:r>
          </w:p>
          <w:p w:rsidR="002B063B" w:rsidRPr="002B063B" w:rsidRDefault="00012D7C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There are being worked on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the labs which need small improvements. 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MJ</w:t>
            </w:r>
            <w:r w:rsidR="002B063B"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and LN are in dialogue.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2D7C" w:rsidRDefault="00012D7C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HS:</w:t>
            </w:r>
          </w:p>
          <w:p w:rsid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After the organisational changes we must conduct APV. CPH has already conducted this due to the request from </w:t>
            </w:r>
            <w:r w:rsidRPr="002B063B">
              <w:rPr>
                <w:rFonts w:ascii="Helvetica" w:hAnsi="Helvetica" w:cs="Helvetica"/>
                <w:sz w:val="18"/>
                <w:szCs w:val="18"/>
                <w:shd w:val="clear" w:color="auto" w:fill="FFFFFF"/>
                <w:lang w:val="en-US"/>
              </w:rPr>
              <w:t>Danish Working Environment Authority</w:t>
            </w:r>
            <w:r w:rsidR="00012D7C">
              <w:rPr>
                <w:rFonts w:ascii="Helvetica" w:hAnsi="Helvetica" w:cs="Helvetica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971252" w:rsidRPr="002B063B" w:rsidRDefault="00971252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physical inspection rounds are conducted at Fibigerstræde and will follow at Skjernvej as soon as the movement is completed.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For Aalborg </w:t>
            </w:r>
            <w:r w:rsidR="00971252">
              <w:rPr>
                <w:rFonts w:ascii="Arial" w:hAnsi="Arial" w:cs="Arial"/>
                <w:sz w:val="18"/>
                <w:szCs w:val="18"/>
                <w:lang w:val="en-GB"/>
              </w:rPr>
              <w:t>psychosocial working environment (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>APV</w:t>
            </w:r>
            <w:r w:rsidR="00971252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 is being handled by AMiU.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The questionnaire will be send to </w:t>
            </w:r>
            <w:r w:rsidR="00012D7C">
              <w:rPr>
                <w:rFonts w:ascii="Arial" w:hAnsi="Arial" w:cs="Arial"/>
                <w:sz w:val="18"/>
                <w:szCs w:val="18"/>
                <w:lang w:val="en-GB"/>
              </w:rPr>
              <w:t>approval by this committee as wel</w:t>
            </w: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l. </w:t>
            </w:r>
          </w:p>
          <w:p w:rsidR="002B063B" w:rsidRPr="002B063B" w:rsidRDefault="002B063B" w:rsidP="002B063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It will be conducted through e-mail. </w:t>
            </w:r>
          </w:p>
          <w:p w:rsidR="00E965A0" w:rsidRPr="002B063B" w:rsidRDefault="002B063B" w:rsidP="002B063B">
            <w:pPr>
              <w:pStyle w:val="Listeafsnit"/>
              <w:numPr>
                <w:ilvl w:val="0"/>
                <w:numId w:val="8"/>
              </w:numPr>
              <w:ind w:left="49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GB"/>
              </w:rPr>
              <w:t xml:space="preserve">SU will be informed of the further process when the responses are conducted.  </w:t>
            </w:r>
          </w:p>
        </w:tc>
      </w:tr>
      <w:tr w:rsidR="002B063B" w:rsidRPr="00EB5C8F" w:rsidTr="00E15788">
        <w:trPr>
          <w:trHeight w:val="706"/>
        </w:trPr>
        <w:tc>
          <w:tcPr>
            <w:tcW w:w="1276" w:type="dxa"/>
          </w:tcPr>
          <w:p w:rsidR="007C0F15" w:rsidRPr="002B063B" w:rsidRDefault="007C0F15" w:rsidP="00A55364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7C0F15" w:rsidRPr="002B063B" w:rsidRDefault="007C0F15" w:rsidP="00C50D2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b/>
                <w:sz w:val="18"/>
                <w:szCs w:val="18"/>
                <w:lang w:val="en-GB"/>
              </w:rPr>
              <w:t>AOB</w:t>
            </w:r>
          </w:p>
        </w:tc>
        <w:tc>
          <w:tcPr>
            <w:tcW w:w="1842" w:type="dxa"/>
          </w:tcPr>
          <w:p w:rsidR="007C0F15" w:rsidRPr="002B063B" w:rsidRDefault="007C0F15" w:rsidP="00B11AF8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7C0F15" w:rsidRPr="002B063B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97" w:type="dxa"/>
          </w:tcPr>
          <w:p w:rsidR="00012D7C" w:rsidRDefault="00012D7C" w:rsidP="002B063B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MHJ: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The integration of labs on Skjernvej and Fibigerstræde is going well. They will continue to work more together and make overlaps and helping each other. </w:t>
            </w:r>
          </w:p>
          <w:p w:rsidR="002B063B" w:rsidRPr="002B063B" w:rsidRDefault="002B063B" w:rsidP="002B063B">
            <w:pPr>
              <w:pStyle w:val="Listeafsni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A task division of the secretariat is requested and will be included in the following newsletter.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012D7C" w:rsidRDefault="00012D7C" w:rsidP="002B063B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KP: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In general at the department the integration is blooming. It is urged to look at cross-fag projects, it will also make bonds across and we will have a better interaction. 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012D7C" w:rsidRDefault="00012D7C" w:rsidP="002B063B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LD: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Moving: Summer 2020 physics will move, but for now Math is moving in at Skjernvej in September. Physics has to </w:t>
            </w:r>
            <w:r w:rsidR="00012D7C">
              <w:rPr>
                <w:rFonts w:cs="Arial"/>
                <w:sz w:val="18"/>
                <w:szCs w:val="18"/>
                <w:lang w:val="en-US"/>
              </w:rPr>
              <w:t>r</w:t>
            </w: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eorganize </w:t>
            </w:r>
            <w:r w:rsidRPr="002B063B">
              <w:rPr>
                <w:rFonts w:cs="Arial"/>
                <w:sz w:val="18"/>
                <w:szCs w:val="18"/>
                <w:lang w:val="en-US"/>
              </w:rPr>
              <w:lastRenderedPageBreak/>
              <w:t xml:space="preserve">which will happen from now on, and it is causing some frustrations.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012D7C" w:rsidRDefault="00012D7C" w:rsidP="002B063B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KP: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Planning of teaching is going to be handled as it uses to in the different departments. ‘Physics’ are nearly planned and the rest will follow during early summer. </w:t>
            </w: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2B063B" w:rsidRPr="002B063B" w:rsidRDefault="002B063B" w:rsidP="002B063B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The future will hopefully be more integrated on the long run. </w:t>
            </w:r>
          </w:p>
          <w:p w:rsidR="0032354A" w:rsidRPr="002B063B" w:rsidRDefault="000340AB" w:rsidP="00C2621A">
            <w:pPr>
              <w:rPr>
                <w:rFonts w:cs="Arial"/>
                <w:sz w:val="18"/>
                <w:szCs w:val="18"/>
                <w:lang w:val="en-US"/>
              </w:rPr>
            </w:pPr>
            <w:r w:rsidRPr="002B063B">
              <w:rPr>
                <w:rFonts w:cs="Arial"/>
                <w:sz w:val="18"/>
                <w:szCs w:val="18"/>
                <w:lang w:val="en-US"/>
              </w:rPr>
              <w:t xml:space="preserve">In summer 2020 physics and Math will move together at Fib 10. </w:t>
            </w:r>
          </w:p>
          <w:p w:rsidR="0032354A" w:rsidRPr="002B063B" w:rsidRDefault="0032354A" w:rsidP="00C2621A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B70B95" w:rsidRPr="002B063B" w:rsidRDefault="00B70B95" w:rsidP="00C2621A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CB5EAC" w:rsidRPr="002B063B" w:rsidRDefault="00CB5EAC" w:rsidP="00047F27">
      <w:pPr>
        <w:jc w:val="both"/>
        <w:rPr>
          <w:rFonts w:cs="Arial"/>
          <w:sz w:val="18"/>
          <w:szCs w:val="18"/>
          <w:lang w:val="en-GB"/>
        </w:rPr>
      </w:pPr>
    </w:p>
    <w:p w:rsidR="00CB5EAC" w:rsidRPr="002B063B" w:rsidRDefault="00CB5EAC" w:rsidP="009B422F">
      <w:pPr>
        <w:rPr>
          <w:rFonts w:cs="Arial"/>
          <w:sz w:val="18"/>
          <w:szCs w:val="18"/>
          <w:lang w:val="en-GB"/>
        </w:rPr>
      </w:pPr>
    </w:p>
    <w:p w:rsidR="00DC19E1" w:rsidRPr="002B063B" w:rsidRDefault="00DC19E1" w:rsidP="009B422F">
      <w:pPr>
        <w:rPr>
          <w:rFonts w:cs="Arial"/>
          <w:sz w:val="18"/>
          <w:szCs w:val="18"/>
          <w:lang w:val="en-GB"/>
        </w:rPr>
      </w:pPr>
    </w:p>
    <w:sectPr w:rsidR="00DC19E1" w:rsidRPr="002B063B" w:rsidSect="00967A95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227" w:right="1134" w:bottom="1021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14" w:rsidRDefault="003A6414" w:rsidP="00E16C5A">
      <w:pPr>
        <w:spacing w:after="0" w:line="240" w:lineRule="auto"/>
      </w:pPr>
      <w:r>
        <w:separator/>
      </w:r>
    </w:p>
  </w:endnote>
  <w:endnote w:type="continuationSeparator" w:id="0">
    <w:p w:rsidR="003A6414" w:rsidRDefault="003A641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36" w:rsidRDefault="009C0836" w:rsidP="009C0836">
    <w:pPr>
      <w:pStyle w:val="Sidefod"/>
      <w:jc w:val="right"/>
    </w:pPr>
    <w:r>
      <w:t xml:space="preserve">Side </w:t>
    </w:r>
    <w:sdt>
      <w:sdtPr>
        <w:id w:val="8719640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B5C8F">
          <w:rPr>
            <w:noProof/>
          </w:rPr>
          <w:t>2</w:t>
        </w:r>
        <w:r>
          <w:fldChar w:fldCharType="end"/>
        </w:r>
        <w:r>
          <w:t xml:space="preserve"> af </w:t>
        </w:r>
        <w:r w:rsidR="00EB5C8F">
          <w:fldChar w:fldCharType="begin"/>
        </w:r>
        <w:r w:rsidR="00EB5C8F">
          <w:instrText xml:space="preserve"> INFO  NumPages  \* MERGEFORMAT </w:instrText>
        </w:r>
        <w:r w:rsidR="00EB5C8F">
          <w:fldChar w:fldCharType="separate"/>
        </w:r>
        <w:r w:rsidR="00F44930">
          <w:t>4</w:t>
        </w:r>
        <w:r w:rsidR="00EB5C8F">
          <w:fldChar w:fldCharType="end"/>
        </w:r>
      </w:sdtContent>
    </w:sdt>
  </w:p>
  <w:p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36" w:rsidRDefault="009C0836">
    <w:pPr>
      <w:pStyle w:val="Sidefod"/>
      <w:jc w:val="right"/>
    </w:pPr>
    <w:r>
      <w:t xml:space="preserve">Side </w:t>
    </w:r>
    <w:sdt>
      <w:sdtPr>
        <w:id w:val="12995649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B5C8F">
          <w:rPr>
            <w:noProof/>
          </w:rPr>
          <w:t>1</w:t>
        </w:r>
        <w:r>
          <w:fldChar w:fldCharType="end"/>
        </w:r>
        <w:r>
          <w:t xml:space="preserve"> af </w:t>
        </w:r>
        <w:r w:rsidR="00EB5C8F">
          <w:fldChar w:fldCharType="begin"/>
        </w:r>
        <w:r w:rsidR="00EB5C8F">
          <w:instrText xml:space="preserve"> INFO  NumPages  \* MERGEFORMAT </w:instrText>
        </w:r>
        <w:r w:rsidR="00EB5C8F">
          <w:fldChar w:fldCharType="separate"/>
        </w:r>
        <w:r w:rsidR="00F44930">
          <w:t>4</w:t>
        </w:r>
        <w:r w:rsidR="00EB5C8F">
          <w:fldChar w:fldCharType="end"/>
        </w:r>
      </w:sdtContent>
    </w:sdt>
  </w:p>
  <w:p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14" w:rsidRDefault="003A6414" w:rsidP="00E16C5A">
      <w:pPr>
        <w:spacing w:after="0" w:line="240" w:lineRule="auto"/>
      </w:pPr>
      <w:r>
        <w:separator/>
      </w:r>
    </w:p>
  </w:footnote>
  <w:footnote w:type="continuationSeparator" w:id="0">
    <w:p w:rsidR="003A6414" w:rsidRDefault="003A641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2F" w:rsidRPr="00967A95" w:rsidRDefault="009B422F" w:rsidP="00B04EC1">
    <w:pPr>
      <w:tabs>
        <w:tab w:val="left" w:pos="7230"/>
      </w:tabs>
      <w:spacing w:after="0"/>
      <w:rPr>
        <w:rFonts w:cs="Arial"/>
        <w:b/>
        <w:color w:val="211A52"/>
        <w:sz w:val="34"/>
        <w:szCs w:val="34"/>
        <w:lang w:val="en-US"/>
      </w:rPr>
    </w:pP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58240" behindDoc="1" locked="0" layoutInCell="1" allowOverlap="1" wp14:anchorId="06F2336B" wp14:editId="14AB4DFD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D2C">
      <w:rPr>
        <w:rFonts w:cs="Arial"/>
        <w:b/>
        <w:color w:val="211A52"/>
        <w:sz w:val="34"/>
        <w:szCs w:val="34"/>
        <w:lang w:val="en-US"/>
      </w:rPr>
      <w:t xml:space="preserve"> </w:t>
    </w:r>
    <w:r w:rsidR="00B04EC1"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60288" behindDoc="1" locked="0" layoutInCell="1" allowOverlap="1" wp14:anchorId="0ADBACA5" wp14:editId="287ADF3B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EC1">
      <w:rPr>
        <w:rFonts w:cs="Arial"/>
        <w:b/>
        <w:color w:val="211A52"/>
        <w:sz w:val="34"/>
        <w:szCs w:val="34"/>
        <w:lang w:val="en-US"/>
      </w:rPr>
      <w:t xml:space="preserve">Agenda/Minutes for Joint Consultative </w:t>
    </w:r>
    <w:r w:rsidR="00B04EC1" w:rsidRPr="00967A95">
      <w:rPr>
        <w:rFonts w:cs="Arial"/>
        <w:b/>
        <w:color w:val="211A52"/>
        <w:sz w:val="34"/>
        <w:szCs w:val="34"/>
        <w:lang w:val="en-US"/>
      </w:rPr>
      <w:t xml:space="preserve">Committee </w:t>
    </w:r>
    <w:r w:rsidR="00183F40">
      <w:rPr>
        <w:rFonts w:cs="Arial"/>
        <w:b/>
        <w:color w:val="211A52"/>
        <w:sz w:val="34"/>
        <w:szCs w:val="34"/>
        <w:lang w:val="en-US"/>
      </w:rPr>
      <w:t xml:space="preserve">1 June </w:t>
    </w:r>
    <w:r w:rsidR="00C50D2C">
      <w:rPr>
        <w:rFonts w:cs="Arial"/>
        <w:b/>
        <w:color w:val="211A52"/>
        <w:sz w:val="34"/>
        <w:szCs w:val="34"/>
        <w:lang w:val="en-US"/>
      </w:rPr>
      <w:t>2017</w:t>
    </w:r>
  </w:p>
  <w:p w:rsidR="009B422F" w:rsidRDefault="009B422F" w:rsidP="00967A95">
    <w:pPr>
      <w:tabs>
        <w:tab w:val="left" w:pos="7230"/>
      </w:tabs>
      <w:rPr>
        <w:rFonts w:cs="Arial"/>
        <w:b/>
        <w:color w:val="211A52"/>
        <w:sz w:val="16"/>
        <w:szCs w:val="16"/>
        <w:lang w:val="en-US"/>
      </w:rPr>
    </w:pPr>
  </w:p>
  <w:p w:rsidR="009B422F" w:rsidRDefault="009B422F" w:rsidP="009B422F">
    <w:pPr>
      <w:tabs>
        <w:tab w:val="left" w:pos="7230"/>
      </w:tabs>
      <w:rPr>
        <w:rFonts w:cs="Arial"/>
        <w:b/>
        <w:color w:val="211A52"/>
        <w:sz w:val="16"/>
        <w:szCs w:val="16"/>
        <w:lang w:val="en-US"/>
      </w:rPr>
    </w:pPr>
  </w:p>
  <w:p w:rsidR="00E16C5A" w:rsidRPr="009B422F" w:rsidRDefault="008F6A46" w:rsidP="00967A95">
    <w:pPr>
      <w:tabs>
        <w:tab w:val="left" w:pos="7230"/>
      </w:tabs>
      <w:jc w:val="right"/>
      <w:rPr>
        <w:lang w:val="en-US"/>
      </w:rPr>
    </w:pPr>
    <w:r>
      <w:rPr>
        <w:rFonts w:cs="Arial"/>
        <w:b/>
        <w:color w:val="211A52"/>
        <w:sz w:val="16"/>
        <w:szCs w:val="16"/>
        <w:lang w:val="en-US"/>
      </w:rPr>
      <w:t xml:space="preserve">Department </w:t>
    </w:r>
    <w:r w:rsidR="009B422F" w:rsidRPr="009B422F">
      <w:rPr>
        <w:rFonts w:cs="Arial"/>
        <w:b/>
        <w:color w:val="211A52"/>
        <w:sz w:val="16"/>
        <w:szCs w:val="16"/>
        <w:lang w:val="en-US"/>
      </w:rPr>
      <w:t xml:space="preserve">of </w:t>
    </w:r>
    <w:r>
      <w:rPr>
        <w:rFonts w:cs="Arial"/>
        <w:b/>
        <w:color w:val="211A52"/>
        <w:sz w:val="16"/>
        <w:szCs w:val="16"/>
        <w:lang w:val="en-US"/>
      </w:rPr>
      <w:t>Material</w:t>
    </w:r>
    <w:r w:rsidR="00B04EC1">
      <w:rPr>
        <w:rFonts w:cs="Arial"/>
        <w:b/>
        <w:color w:val="211A52"/>
        <w:sz w:val="16"/>
        <w:szCs w:val="16"/>
        <w:lang w:val="en-US"/>
      </w:rPr>
      <w:t>s</w:t>
    </w:r>
    <w:r>
      <w:rPr>
        <w:rFonts w:cs="Arial"/>
        <w:b/>
        <w:color w:val="211A52"/>
        <w:sz w:val="16"/>
        <w:szCs w:val="16"/>
        <w:lang w:val="en-US"/>
      </w:rPr>
      <w:t xml:space="preserve"> and Production</w:t>
    </w:r>
    <w:r w:rsidRPr="009B422F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583"/>
    <w:multiLevelType w:val="hybridMultilevel"/>
    <w:tmpl w:val="B776C3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B3244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51886"/>
    <w:multiLevelType w:val="hybridMultilevel"/>
    <w:tmpl w:val="7C2AF824"/>
    <w:lvl w:ilvl="0" w:tplc="1CD0D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75BE6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03BF1"/>
    <w:multiLevelType w:val="hybridMultilevel"/>
    <w:tmpl w:val="55BA5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C69A2"/>
    <w:multiLevelType w:val="hybridMultilevel"/>
    <w:tmpl w:val="7494B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500F40"/>
    <w:multiLevelType w:val="hybridMultilevel"/>
    <w:tmpl w:val="714CDFDC"/>
    <w:lvl w:ilvl="0" w:tplc="16FE5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A72E0"/>
    <w:multiLevelType w:val="hybridMultilevel"/>
    <w:tmpl w:val="CC1E39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2891"/>
    <w:rsid w:val="00012D7C"/>
    <w:rsid w:val="0002075B"/>
    <w:rsid w:val="00027D3B"/>
    <w:rsid w:val="000340AB"/>
    <w:rsid w:val="000355F9"/>
    <w:rsid w:val="00047F27"/>
    <w:rsid w:val="000972E2"/>
    <w:rsid w:val="000A681E"/>
    <w:rsid w:val="000B28FE"/>
    <w:rsid w:val="000C1D68"/>
    <w:rsid w:val="000D511A"/>
    <w:rsid w:val="000F5D59"/>
    <w:rsid w:val="00112D96"/>
    <w:rsid w:val="00116A33"/>
    <w:rsid w:val="0012129F"/>
    <w:rsid w:val="00151D91"/>
    <w:rsid w:val="0015378E"/>
    <w:rsid w:val="001619AC"/>
    <w:rsid w:val="001735C7"/>
    <w:rsid w:val="0017740B"/>
    <w:rsid w:val="00183F40"/>
    <w:rsid w:val="001B2DB7"/>
    <w:rsid w:val="001B3CFD"/>
    <w:rsid w:val="001D45BC"/>
    <w:rsid w:val="001F1296"/>
    <w:rsid w:val="001F214A"/>
    <w:rsid w:val="001F7BFA"/>
    <w:rsid w:val="0020236E"/>
    <w:rsid w:val="00202ED6"/>
    <w:rsid w:val="002146B4"/>
    <w:rsid w:val="002514B3"/>
    <w:rsid w:val="00285119"/>
    <w:rsid w:val="00294141"/>
    <w:rsid w:val="002A148C"/>
    <w:rsid w:val="002A1B15"/>
    <w:rsid w:val="002A45C4"/>
    <w:rsid w:val="002B063B"/>
    <w:rsid w:val="002B0DE7"/>
    <w:rsid w:val="002C70F4"/>
    <w:rsid w:val="002D2834"/>
    <w:rsid w:val="002E1504"/>
    <w:rsid w:val="002E1A39"/>
    <w:rsid w:val="002E2627"/>
    <w:rsid w:val="002E2838"/>
    <w:rsid w:val="002E6D39"/>
    <w:rsid w:val="002F25C6"/>
    <w:rsid w:val="002F75A3"/>
    <w:rsid w:val="0030517F"/>
    <w:rsid w:val="00305909"/>
    <w:rsid w:val="00311EC6"/>
    <w:rsid w:val="00312FA0"/>
    <w:rsid w:val="0032354A"/>
    <w:rsid w:val="0034016A"/>
    <w:rsid w:val="003614F3"/>
    <w:rsid w:val="00385FFE"/>
    <w:rsid w:val="00387646"/>
    <w:rsid w:val="00394225"/>
    <w:rsid w:val="003A0A25"/>
    <w:rsid w:val="003A6414"/>
    <w:rsid w:val="003B1CB0"/>
    <w:rsid w:val="003B2887"/>
    <w:rsid w:val="003B379F"/>
    <w:rsid w:val="003C72AD"/>
    <w:rsid w:val="003D3067"/>
    <w:rsid w:val="00447253"/>
    <w:rsid w:val="004726CA"/>
    <w:rsid w:val="00475BF0"/>
    <w:rsid w:val="00482912"/>
    <w:rsid w:val="00492B3D"/>
    <w:rsid w:val="004B4CDC"/>
    <w:rsid w:val="004B501B"/>
    <w:rsid w:val="004C5B8C"/>
    <w:rsid w:val="004D163A"/>
    <w:rsid w:val="004D2402"/>
    <w:rsid w:val="004E1AAD"/>
    <w:rsid w:val="004F3540"/>
    <w:rsid w:val="005130CA"/>
    <w:rsid w:val="00525FED"/>
    <w:rsid w:val="00582D2F"/>
    <w:rsid w:val="0058479B"/>
    <w:rsid w:val="005B309F"/>
    <w:rsid w:val="005B737F"/>
    <w:rsid w:val="005D617D"/>
    <w:rsid w:val="005E68CB"/>
    <w:rsid w:val="005F1C04"/>
    <w:rsid w:val="00602007"/>
    <w:rsid w:val="00623675"/>
    <w:rsid w:val="00632536"/>
    <w:rsid w:val="006469ED"/>
    <w:rsid w:val="00646B8F"/>
    <w:rsid w:val="00672649"/>
    <w:rsid w:val="00681862"/>
    <w:rsid w:val="006A29AD"/>
    <w:rsid w:val="006C368A"/>
    <w:rsid w:val="006F21F5"/>
    <w:rsid w:val="006F4428"/>
    <w:rsid w:val="006F4EF7"/>
    <w:rsid w:val="006F509E"/>
    <w:rsid w:val="0070768A"/>
    <w:rsid w:val="00710286"/>
    <w:rsid w:val="00734CDF"/>
    <w:rsid w:val="00741E24"/>
    <w:rsid w:val="0075476B"/>
    <w:rsid w:val="00766D55"/>
    <w:rsid w:val="00773B3F"/>
    <w:rsid w:val="007C0F15"/>
    <w:rsid w:val="007C4652"/>
    <w:rsid w:val="007D2572"/>
    <w:rsid w:val="007D4753"/>
    <w:rsid w:val="007E7483"/>
    <w:rsid w:val="00804083"/>
    <w:rsid w:val="008A0549"/>
    <w:rsid w:val="008D7E16"/>
    <w:rsid w:val="008E4BEE"/>
    <w:rsid w:val="008F6A46"/>
    <w:rsid w:val="00915812"/>
    <w:rsid w:val="0092179A"/>
    <w:rsid w:val="00955393"/>
    <w:rsid w:val="00967A95"/>
    <w:rsid w:val="00971252"/>
    <w:rsid w:val="00981450"/>
    <w:rsid w:val="00981E39"/>
    <w:rsid w:val="009A18AF"/>
    <w:rsid w:val="009A5AA9"/>
    <w:rsid w:val="009B422F"/>
    <w:rsid w:val="009B5A93"/>
    <w:rsid w:val="009C0836"/>
    <w:rsid w:val="009D02D3"/>
    <w:rsid w:val="009F1332"/>
    <w:rsid w:val="00A05BC1"/>
    <w:rsid w:val="00A15825"/>
    <w:rsid w:val="00A247C9"/>
    <w:rsid w:val="00A3368E"/>
    <w:rsid w:val="00A51460"/>
    <w:rsid w:val="00A6013E"/>
    <w:rsid w:val="00A6444C"/>
    <w:rsid w:val="00A65A7C"/>
    <w:rsid w:val="00A66E7D"/>
    <w:rsid w:val="00AB7472"/>
    <w:rsid w:val="00AD0545"/>
    <w:rsid w:val="00B03AD1"/>
    <w:rsid w:val="00B04EC1"/>
    <w:rsid w:val="00B11AF8"/>
    <w:rsid w:val="00B25DDF"/>
    <w:rsid w:val="00B33E3C"/>
    <w:rsid w:val="00B43609"/>
    <w:rsid w:val="00B47AFE"/>
    <w:rsid w:val="00B70B95"/>
    <w:rsid w:val="00B75E2E"/>
    <w:rsid w:val="00B92662"/>
    <w:rsid w:val="00BA7646"/>
    <w:rsid w:val="00BA7E11"/>
    <w:rsid w:val="00BC714B"/>
    <w:rsid w:val="00BD3E7D"/>
    <w:rsid w:val="00BD6DBB"/>
    <w:rsid w:val="00BF77E7"/>
    <w:rsid w:val="00C02949"/>
    <w:rsid w:val="00C2621A"/>
    <w:rsid w:val="00C50D2C"/>
    <w:rsid w:val="00C57B8B"/>
    <w:rsid w:val="00C7357B"/>
    <w:rsid w:val="00C73647"/>
    <w:rsid w:val="00C93BEC"/>
    <w:rsid w:val="00CA3A69"/>
    <w:rsid w:val="00CA422D"/>
    <w:rsid w:val="00CB5EAC"/>
    <w:rsid w:val="00CB5EC1"/>
    <w:rsid w:val="00CF066F"/>
    <w:rsid w:val="00CF07DF"/>
    <w:rsid w:val="00D03669"/>
    <w:rsid w:val="00D060B0"/>
    <w:rsid w:val="00D06DAC"/>
    <w:rsid w:val="00D452F6"/>
    <w:rsid w:val="00D4718C"/>
    <w:rsid w:val="00D52597"/>
    <w:rsid w:val="00D54357"/>
    <w:rsid w:val="00D715E4"/>
    <w:rsid w:val="00D834E1"/>
    <w:rsid w:val="00D8613C"/>
    <w:rsid w:val="00DC19E1"/>
    <w:rsid w:val="00DF7791"/>
    <w:rsid w:val="00E044AD"/>
    <w:rsid w:val="00E15788"/>
    <w:rsid w:val="00E15C3B"/>
    <w:rsid w:val="00E16C5A"/>
    <w:rsid w:val="00E64B85"/>
    <w:rsid w:val="00E70F79"/>
    <w:rsid w:val="00E81BA3"/>
    <w:rsid w:val="00E872F2"/>
    <w:rsid w:val="00E95292"/>
    <w:rsid w:val="00E96574"/>
    <w:rsid w:val="00E965A0"/>
    <w:rsid w:val="00EB5C8F"/>
    <w:rsid w:val="00EC5FCE"/>
    <w:rsid w:val="00ED3FDE"/>
    <w:rsid w:val="00EF0136"/>
    <w:rsid w:val="00F10ED7"/>
    <w:rsid w:val="00F26861"/>
    <w:rsid w:val="00F31AA4"/>
    <w:rsid w:val="00F41691"/>
    <w:rsid w:val="00F44001"/>
    <w:rsid w:val="00F44930"/>
    <w:rsid w:val="00F73E94"/>
    <w:rsid w:val="00F90537"/>
    <w:rsid w:val="00F94BEF"/>
    <w:rsid w:val="00FB13BD"/>
    <w:rsid w:val="00FC47F3"/>
    <w:rsid w:val="00FD1A8E"/>
    <w:rsid w:val="00FD1DAC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9B422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3F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F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F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F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FDE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511A"/>
    <w:pPr>
      <w:spacing w:after="0" w:line="240" w:lineRule="auto"/>
    </w:pPr>
    <w:rPr>
      <w:rFonts w:ascii="Arial" w:hAnsi="Arial"/>
      <w:sz w:val="20"/>
    </w:rPr>
  </w:style>
  <w:style w:type="character" w:customStyle="1" w:styleId="shorttext">
    <w:name w:val="short_text"/>
    <w:basedOn w:val="Standardskrifttypeiafsnit"/>
    <w:rsid w:val="004E1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9B422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3F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F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F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F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FDE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511A"/>
    <w:pPr>
      <w:spacing w:after="0" w:line="240" w:lineRule="auto"/>
    </w:pPr>
    <w:rPr>
      <w:rFonts w:ascii="Arial" w:hAnsi="Arial"/>
      <w:sz w:val="20"/>
    </w:rPr>
  </w:style>
  <w:style w:type="character" w:customStyle="1" w:styleId="shorttext">
    <w:name w:val="short_text"/>
    <w:basedOn w:val="Standardskrifttypeiafsnit"/>
    <w:rsid w:val="004E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2.docx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PowerPoint_Presentation1.pptx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0EB6D83D-7AFF-403C-87C5-5AA3B072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1024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Marie Christensen</dc:creator>
  <cp:lastModifiedBy>Heidi Juul Sørensen</cp:lastModifiedBy>
  <cp:revision>10</cp:revision>
  <cp:lastPrinted>2017-08-07T03:45:00Z</cp:lastPrinted>
  <dcterms:created xsi:type="dcterms:W3CDTF">2017-07-13T08:00:00Z</dcterms:created>
  <dcterms:modified xsi:type="dcterms:W3CDTF">2017-08-07T04:45:00Z</dcterms:modified>
</cp:coreProperties>
</file>